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1" w:rsidRPr="00CD3D2C" w:rsidRDefault="00D924C1" w:rsidP="00D9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D924C1" w:rsidRPr="00CD3D2C" w:rsidRDefault="00633ADC" w:rsidP="00D9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Udruženje sudskih vještaka Crne Gore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</w:p>
    <w:p w:rsidR="008A1109" w:rsidRPr="00CD3D2C" w:rsidRDefault="00D924C1" w:rsidP="00921B8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48"/>
          <w:szCs w:val="48"/>
        </w:rPr>
      </w:pPr>
      <w:r w:rsidRPr="00CD3D2C">
        <w:rPr>
          <w:rFonts w:ascii="Sylfaen" w:hAnsi="Sylfaen" w:cs="Arial"/>
          <w:color w:val="000000" w:themeColor="text1"/>
          <w:sz w:val="48"/>
          <w:szCs w:val="48"/>
        </w:rPr>
        <w:t xml:space="preserve">- </w:t>
      </w:r>
      <w:r w:rsidRPr="00CD3D2C">
        <w:rPr>
          <w:rFonts w:ascii="Sylfaen" w:hAnsi="Sylfaen" w:cs="Arial"/>
          <w:b/>
          <w:bCs/>
          <w:color w:val="000000" w:themeColor="text1"/>
          <w:sz w:val="48"/>
          <w:szCs w:val="48"/>
        </w:rPr>
        <w:t xml:space="preserve">Etički kodeks </w:t>
      </w:r>
      <w:r w:rsidR="00F400B5">
        <w:rPr>
          <w:rFonts w:ascii="Sylfaen" w:hAnsi="Sylfaen" w:cs="Arial"/>
          <w:color w:val="000000" w:themeColor="text1"/>
          <w:sz w:val="48"/>
          <w:szCs w:val="48"/>
        </w:rPr>
        <w:t xml:space="preserve">- </w:t>
      </w:r>
    </w:p>
    <w:p w:rsidR="008A1109" w:rsidRPr="00CD3D2C" w:rsidRDefault="008A1109" w:rsidP="00921B8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</w:p>
    <w:p w:rsidR="00D924C1" w:rsidRPr="00CD3D2C" w:rsidRDefault="00D924C1" w:rsidP="00921B8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4"/>
          <w:szCs w:val="24"/>
        </w:rPr>
      </w:pPr>
      <w:r w:rsidRPr="00CD3D2C">
        <w:rPr>
          <w:rFonts w:ascii="Sylfaen" w:hAnsi="Sylfaen" w:cs="Arial"/>
          <w:b/>
          <w:bCs/>
          <w:color w:val="000000" w:themeColor="text1"/>
          <w:sz w:val="24"/>
          <w:szCs w:val="24"/>
        </w:rPr>
        <w:t>UVOD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Etički kodeks Udruženja sudskih vještaka Crne Gore, sačinjen je na osnovu:</w:t>
      </w:r>
    </w:p>
    <w:p w:rsidR="00D924C1" w:rsidRPr="00CD3D2C" w:rsidRDefault="00D924C1" w:rsidP="008A11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procesnih zakona koje uređuju poslove vještačenja;</w:t>
      </w:r>
    </w:p>
    <w:p w:rsidR="00D924C1" w:rsidRPr="00CD3D2C" w:rsidRDefault="00D924C1" w:rsidP="008A11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iskustava drugih profesija, kao što su: pravnici, medicinari,</w:t>
      </w:r>
    </w:p>
    <w:p w:rsidR="008A1109" w:rsidRPr="00CD3D2C" w:rsidRDefault="00D924C1" w:rsidP="008A1109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inžinjeri i dr.</w:t>
      </w:r>
    </w:p>
    <w:p w:rsidR="00D924C1" w:rsidRPr="00CD3D2C" w:rsidRDefault="00D924C1" w:rsidP="008A1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upustava za provjeravanja sistema upravljanja kvalitetom (sistemiISO);</w:t>
      </w:r>
    </w:p>
    <w:p w:rsidR="00D924C1" w:rsidRPr="00CD3D2C" w:rsidRDefault="00D924C1" w:rsidP="008A1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ličnih iskustava sudskih vještaka - članova Udruženja sudskih</w:t>
      </w:r>
      <w:r w:rsidR="008A110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vještaka Crne Gore.</w:t>
      </w:r>
    </w:p>
    <w:p w:rsidR="008A1109" w:rsidRPr="00CD3D2C" w:rsidRDefault="008A1109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Etički kodeks je namijenjen vještacima koji vještače u svim oblastima rada.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Ciljevi koji se žele postići Etičkim kodeksom Udruženja sudskih vještaka Crne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Gore su:</w:t>
      </w:r>
    </w:p>
    <w:p w:rsidR="00D924C1" w:rsidRPr="00CD3D2C" w:rsidRDefault="00D924C1" w:rsidP="008A11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podizanje </w:t>
      </w:r>
      <w:r w:rsidR="008A110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 kvaliteta vještačenja na viši rang</w:t>
      </w:r>
    </w:p>
    <w:p w:rsidR="00D924C1" w:rsidRPr="00CD3D2C" w:rsidRDefault="008A1109" w:rsidP="008A11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jacanje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moralne vrijednosti vještaka;</w:t>
      </w:r>
    </w:p>
    <w:p w:rsidR="00D924C1" w:rsidRPr="00CD3D2C" w:rsidRDefault="008A1109" w:rsidP="008A11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unapredjivanje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saradnj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e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sa sudom i strankama;</w:t>
      </w:r>
    </w:p>
    <w:p w:rsidR="00D924C1" w:rsidRPr="00CD3D2C" w:rsidRDefault="008A1109" w:rsidP="008A11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jacanje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društven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og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ugled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a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i razumijevanj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a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uloge vještaka;</w:t>
      </w:r>
    </w:p>
    <w:p w:rsidR="00D924C1" w:rsidRPr="00CD3D2C" w:rsidRDefault="008A1109" w:rsidP="008A11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unapredjivanje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saradnj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e sa drugim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vještacima;</w:t>
      </w:r>
    </w:p>
    <w:p w:rsidR="00D924C1" w:rsidRPr="00CD3D2C" w:rsidRDefault="00D924C1" w:rsidP="008A11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postizanje većeg reda u postupku vještačenja </w:t>
      </w:r>
      <w:r w:rsidR="008A110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prezentiranju izvjestaja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na sudu;</w:t>
      </w:r>
    </w:p>
    <w:p w:rsidR="00F525D9" w:rsidRPr="00CD3D2C" w:rsidRDefault="00D924C1" w:rsidP="00921B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povećavanje efikasnosti u radu.</w:t>
      </w:r>
    </w:p>
    <w:p w:rsidR="00D924C1" w:rsidRPr="00CD3D2C" w:rsidRDefault="00D924C1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Članovi Udruženja sudskih vještaka imaju dužnost da se pridržavaju ovog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Etičkog kodeksa, tj. da poštuju sve njegove odredbe.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Etički kodeks Udruženja sudskih vještaka Crne Gore obuhvata:</w:t>
      </w:r>
    </w:p>
    <w:p w:rsidR="00D924C1" w:rsidRPr="00CD3D2C" w:rsidRDefault="00D924C1" w:rsidP="00F52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Opšta načela;</w:t>
      </w:r>
    </w:p>
    <w:p w:rsidR="00D924C1" w:rsidRPr="00CD3D2C" w:rsidRDefault="00D924C1" w:rsidP="00F52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Odnos prema radu na vještačenjima;</w:t>
      </w:r>
    </w:p>
    <w:p w:rsidR="00D924C1" w:rsidRPr="00CD3D2C" w:rsidRDefault="00D924C1" w:rsidP="00F52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Dužnost čuvanja tajne;</w:t>
      </w:r>
    </w:p>
    <w:p w:rsidR="00D924C1" w:rsidRPr="00CD3D2C" w:rsidRDefault="00D924C1" w:rsidP="00F52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Odnos vještaka prema sudu;</w:t>
      </w:r>
    </w:p>
    <w:p w:rsidR="00D924C1" w:rsidRPr="00CD3D2C" w:rsidRDefault="00D924C1" w:rsidP="00F52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Odnos vještaka prema strankama;</w:t>
      </w:r>
    </w:p>
    <w:p w:rsidR="00D924C1" w:rsidRPr="00CD3D2C" w:rsidRDefault="00D924C1" w:rsidP="00F52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. Odnos vještaka prema drugim vještacima.</w:t>
      </w:r>
    </w:p>
    <w:p w:rsidR="00D924C1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</w:p>
    <w:p w:rsidR="00D80362" w:rsidRPr="00CD3D2C" w:rsidRDefault="00D80362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D924C1" w:rsidRPr="00CD3D2C" w:rsidRDefault="00D924C1" w:rsidP="00F525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lastRenderedPageBreak/>
        <w:t>OPŠTA NAČELA</w:t>
      </w:r>
    </w:p>
    <w:p w:rsidR="00F525D9" w:rsidRPr="00CD3D2C" w:rsidRDefault="00F525D9" w:rsidP="00F525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</w:p>
    <w:p w:rsidR="00D924C1" w:rsidRPr="00CD3D2C" w:rsidRDefault="00F525D9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V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ještaci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su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obavezni da poštuju odredbe Etičkog kodeksa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koji određuje odnos vještaka prema radu na vještačenjima, prema sudu, prema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strankama, prema drugim sudskim vještacima i uopšte prema društvu u kojem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živi i radi.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</w:t>
      </w:r>
    </w:p>
    <w:p w:rsidR="00D924C1" w:rsidRPr="00CD3D2C" w:rsidRDefault="00D924C1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vještaci su obavezni poštovati odredbe Etičkog kodeksa koji određuje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odnos i postupanje sudskog vještaka u sledećim domenima njegovog rada 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djelovanja:</w:t>
      </w:r>
    </w:p>
    <w:p w:rsidR="00D924C1" w:rsidRPr="00CD3D2C" w:rsidRDefault="00D924C1" w:rsidP="00F52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u samom postupku sudskog vještačenja;</w:t>
      </w:r>
    </w:p>
    <w:p w:rsidR="00D924C1" w:rsidRPr="00CD3D2C" w:rsidRDefault="00D924C1" w:rsidP="00F52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u odnosu prema radu i strankama u sudskim postupcima;</w:t>
      </w:r>
    </w:p>
    <w:p w:rsidR="00D924C1" w:rsidRPr="00CD3D2C" w:rsidRDefault="00D924C1" w:rsidP="00F52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prema tijelu pred kojim se vodi postupak;</w:t>
      </w:r>
    </w:p>
    <w:p w:rsidR="00D924C1" w:rsidRPr="00CD3D2C" w:rsidRDefault="00D924C1" w:rsidP="00F52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prema drugom naručiocu vještačenja;</w:t>
      </w:r>
    </w:p>
    <w:p w:rsidR="00D924C1" w:rsidRPr="00CD3D2C" w:rsidRDefault="00D924C1" w:rsidP="00F52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prema strankama u postupku;</w:t>
      </w:r>
    </w:p>
    <w:p w:rsidR="00D924C1" w:rsidRPr="00CD3D2C" w:rsidRDefault="00D924C1" w:rsidP="00F52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prema drugim sudskim vještacima i</w:t>
      </w:r>
    </w:p>
    <w:p w:rsidR="00D924C1" w:rsidRPr="00CD3D2C" w:rsidRDefault="00D924C1" w:rsidP="00F52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prema javnosti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2</w:t>
      </w:r>
    </w:p>
    <w:p w:rsidR="00D924C1" w:rsidRPr="00CD3D2C" w:rsidRDefault="00D924C1" w:rsidP="00F525D9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Osnovna načela kojima se sudski vještak rukovodi u svom radu i vladanju su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sadržana u zakletvi koju polaže.</w:t>
      </w:r>
    </w:p>
    <w:p w:rsidR="00D924C1" w:rsidRPr="00CD3D2C" w:rsidRDefault="00D924C1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se zakletvom obavezuje svojom čašću da će povjerena vještačenja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obavljati savjesno i po svom najboljem znanju i da će tačno i potpuno iznijeti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svoje nalaze i mišljenja, kao i dati potrebne procjene, sve na temelju stvarnih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činjenica, prikupljenim raspoloživim podaci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ma u spisima predmeta, u skladu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sa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pravilima struke, nauke i vještine.</w:t>
      </w:r>
    </w:p>
    <w:p w:rsidR="00F525D9" w:rsidRPr="00CD3D2C" w:rsidRDefault="00F525D9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2. ODNOS PREMA RADU NA VJEŠTAČENJIMA</w:t>
      </w:r>
    </w:p>
    <w:p w:rsidR="000E77FF" w:rsidRPr="00CD3D2C" w:rsidRDefault="00D924C1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U svom radu vještak je dužan da se pridržava zakonskih propisa i pravila koja se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odnose na vještačenje i savjesno i stručno da ispunjava sve dužnosti koje proizilaze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iz njegovog poziva. Vještak je u obavezi da svojim radom i ponašanjem čuva ugled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svoje struke i da opravda povjerenje pravosudnih, drugih organa i stranaka, koje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mu je ukazano povjerenim mu vještačenjem.</w:t>
      </w:r>
    </w:p>
    <w:p w:rsidR="00D924C1" w:rsidRPr="00CD3D2C" w:rsidRDefault="000E77FF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baveza je vještaka da mora stalno proširivati 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obnavljjati svoja stručna znanja i neprekidno pratiti razvoj svoje struke. Ukoliko</w:t>
      </w:r>
      <w:r w:rsidR="00921B8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vještak iz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objektivnih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razloga, ne može izvršiti povjereno mu vještačenje, tada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je obavezan o tome obavijestiti naručioca vještačenja. U obavljanju vještačenja,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vještak je u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obavezi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 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da sačuva nezavisnost i nepristrasnost u 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pripremi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nalaza 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mišljenja i to kako u odnosu na naručioca, tako i u odnosu na stranke.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lastRenderedPageBreak/>
        <w:t>Član 3</w:t>
      </w:r>
    </w:p>
    <w:p w:rsidR="00D924C1" w:rsidRPr="00CD3D2C" w:rsidRDefault="00D924C1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Odnos sudskog vještaka prema radu na povjerenim mu vještačenjima se temelji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na sljedećim načelima: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i/>
          <w:i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</w:rPr>
        <w:t>Načelo ponašanja</w:t>
      </w:r>
    </w:p>
    <w:p w:rsidR="00D924C1" w:rsidRPr="00CD3D2C" w:rsidRDefault="00D924C1" w:rsidP="00F525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mora obavljati posao stručno, pošteno,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instinoljubivo, 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profesionalno –strucno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- mora biti osoba u koju sud može imati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puno povjerenje i pouzdanje.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i/>
          <w:iCs/>
          <w:color w:val="000000" w:themeColor="text1"/>
          <w:sz w:val="28"/>
          <w:szCs w:val="28"/>
          <w:u w:val="single"/>
        </w:rPr>
      </w:pP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  <w:u w:val="single"/>
        </w:rPr>
        <w:t>Načelo odgovornosti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smije preuzeti samo one poslove za koje smatra da</w:t>
      </w:r>
      <w:r w:rsidR="00F525D9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će ih obaviti na stručno besprekoran način.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i/>
          <w:i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  <w:u w:val="single"/>
        </w:rPr>
        <w:t>Načelo povjerenja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treba da prihvata obaveze na način koji služi</w:t>
      </w:r>
      <w:r w:rsidR="00921B8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javnom interesu, poštovati povjerenje javnosti i biti predan svom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zanimanju.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i/>
          <w:i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</w:rPr>
        <w:t>Načelo besprekornosti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Sudski vještaci moraju obavljati 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vjestacenje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na što vjerodostojniji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način kako bi zadržali i dodatno učvrstili javno povjerenje.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i/>
          <w:i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</w:rPr>
        <w:t>Načelo profesionalne pažnje</w:t>
      </w:r>
    </w:p>
    <w:p w:rsidR="00D924C1" w:rsidRPr="00CD3D2C" w:rsidRDefault="00D924C1" w:rsidP="008A3D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mora poštovati profesionalna i etička načela,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profesionalne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standarde, mora neprekidno usavršavati svoja znanja, podizati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kvalitet usluga i ulagati u svoje snage u obavljanju poslova.</w:t>
      </w:r>
    </w:p>
    <w:p w:rsidR="000E77FF" w:rsidRPr="00CD3D2C" w:rsidRDefault="00D924C1" w:rsidP="00921B8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treba posjedovati sljedeće osobine: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1. </w:t>
      </w: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</w:rPr>
        <w:t xml:space="preserve">Psihofizičke prirode: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u smislu i pristojnog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izgleda, , postojanja zdravih i funkcionalno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osjetljivih čula, dara dobrog zapažanja, dobrog pamćenja,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sposobnosti kombinovanja, intelegencije, imaginacije,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logičnog 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razboritog načina razmišljanja koje omogućava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pravilno rasuđivanje i odlučivanje, mirnoće i sposobnosti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samosavladavanja i u nasloženijim i neočekivanim situacijama,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stalne fizičko-tjelesne spremnosti (kondicije) i sposobnosti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brzog refleksnog djelovanja, iskustva, ustrajnosti, strpljivosti,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itd.,</w:t>
      </w:r>
    </w:p>
    <w:p w:rsidR="00D924C1" w:rsidRPr="00CD3D2C" w:rsidRDefault="00D924C1" w:rsidP="008A3D78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2. </w:t>
      </w: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</w:rPr>
        <w:t xml:space="preserve">Karakterne osobine: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beskompromisno poštenje, bez upotrebe</w:t>
      </w:r>
    </w:p>
    <w:p w:rsidR="00D924C1" w:rsidRPr="00CD3D2C" w:rsidRDefault="00D924C1" w:rsidP="008A3D78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obmana i trikova, davanja lažnih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-nerealnih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obećanja ili obećanja koje ne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može ispuniti, nekorumpiranost, prijateljstvo razumijevanje,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energičnost, istrajnost, samokritičnost i sposobnost primanja</w:t>
      </w:r>
    </w:p>
    <w:p w:rsidR="00D924C1" w:rsidRPr="00CD3D2C" w:rsidRDefault="00D924C1" w:rsidP="008A3D78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konstruktivne i argumentovane kritike, nepostojanje predrasuda</w:t>
      </w:r>
    </w:p>
    <w:p w:rsidR="00D924C1" w:rsidRPr="00CD3D2C" w:rsidRDefault="00D924C1" w:rsidP="008A3D78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po bilo kom osnovu i sl.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lastRenderedPageBreak/>
        <w:t xml:space="preserve">3. </w:t>
      </w: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</w:rPr>
        <w:t xml:space="preserve">Emotivne prirode: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sklonost i ljubav prema pozivu sudskog vještaka,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i prema poslu koji zahtijeva izlaganje opasnosti i izlaganje kritici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(opravdanoj i neopravdanoj).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4. </w:t>
      </w: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</w:rPr>
        <w:t xml:space="preserve">Poznavanje propisa: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mora poznavati zakonske i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pod zakonske propise koje primjenjue u svom radu, pravila struke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iz koje vještači i drugih srodnih naučnih disciplina.Pravni propisi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predstavljaju pravnu i procesnu osnovu za rad sudskih vještaka,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a poznavanje postulata odgovarajućih nauka i drugih naučnotehničkih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disciplina stručnu osnovu za rad kriminalističkih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vještaka.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U obavljanju svog poziva sudski vještaci su dužni da se pridržavaju svih zakonskih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propisa kojima je regulisano područje sudskog vještačenja, kao i drugih propisa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i pravila struke, i savjesno ispunjavati sve dužnosti koje proizilaze iz njegovog- poziva, čuvati ugled sudskih vještaka i svojim radom i ponašanjem opravdati povjerenje pravosuđa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I postpisanu zakletvu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4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Sudski vještaci dužni su izbjegavati sukob interesa koji uzrokuju 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>: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: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porodični odnosi, prijateljske veze, intimne veze, finansijski interesi i sl., kao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i uzdržavati se od primanja naknada u bilo kojem obliku, za koje se može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pretpostaviti da će posredno ili neposredno imati uticaj na objektivnost u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obavljanju vještačenja.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5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Tokom vještačenja sudski vještak mora, primjenom naučnih dostignuća, pravila struke i vještine, objektivno proučavati i utvrđivati činjenice,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kritički ih ocjenjivati i s jednakom pažnjom razmatrati zahtjeve svih,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>stranaka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te nepristrasno izvesti zaključak.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6</w:t>
      </w:r>
    </w:p>
    <w:p w:rsidR="00D924C1" w:rsidRPr="00CD3D2C" w:rsidRDefault="00D924C1" w:rsidP="00921B8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mora biti oslobođen ličnih,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>interesovanja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stavova, predrasuda, strasti 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posebnosti, a prilikom donošenja zaključka (mišljenja) isto se mora temeljiti na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nepristrasnom gledanju na osobe koje su uključene u dati predmet. Iznad svega,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ne smije da u svom radu iskaže</w:t>
      </w:r>
      <w:r w:rsidR="008A3D78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ni najmanju pristrasnost i sujetu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. Naime, ukoliko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vještak imalo sumnja u svoj rad ili u metodu koju primjenjuje, tu sumnju mora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iznijeti strankama u postupku 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i/ili organima pravosuđa. Svaki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savjestan vještak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je dužan to da uradi, jer ni naučna sujeta vještaka, ni njegov stručni dignitet,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pa ni njegova egzistencija nije vrijedno posljedice koje bi izazvalo nekorektno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prezentovan rezultat vještačenja.- 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7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lastRenderedPageBreak/>
        <w:t xml:space="preserve">Sudski vještak mora stalno proširivati svoja znanja, 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>i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neprekidno pratiti 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savremene trendove 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razvoj svoje struke.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8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Ako sudski vještak ne može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iz objktivnih razloga ili drugih  okolnosti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izvršiti postavljeni zadatak vještačenja, dužan je 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tome izvijestiti 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 xml:space="preserve">blagovremneo –u razumnom roku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naručioca vještačenja.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9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U obavljanju svojih dužnosti sudski vještak je dužan sačuvati nezavisnost 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nepristranost u donošenju nalaza i mišljenja, i to kako u odnosu na naručioca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vještačenja tako i u odnosu na stranke.</w:t>
      </w:r>
    </w:p>
    <w:p w:rsidR="000E77FF" w:rsidRPr="00CD3D2C" w:rsidRDefault="000E77FF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3. DUŽNOST ČUVANJA TAJNE</w:t>
      </w:r>
    </w:p>
    <w:p w:rsidR="00D924C1" w:rsidRPr="00CD3D2C" w:rsidRDefault="00D96D92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udski vještak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se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obavezuje da ne daje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obavještanja o onome što je saznao prilikom vještačenja iz spisa, na glavnoj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raspravi ili na neki drugi način, nikome osim naručiocu vještačenja.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10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vještaci dužni su tokom cjelokupnog postupka vještačenja i kasnije čuvati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tajnost svih podataka iz sudskog spisa ili na drugi način prikupljenih podataka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u postupku vještačenja.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- 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Dužnost čuvanja tajne obavezuje vještaka da ne daje obavještenja o onom što je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saznao prilikom vještačenja iz spisa, na raspravi ili na drugi način, nikome osim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naručiocu vještačenja.</w:t>
      </w:r>
    </w:p>
    <w:p w:rsidR="00D924C1" w:rsidRPr="00CD3D2C" w:rsidRDefault="00D924C1" w:rsidP="00921B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ODNOS VJEŠTAKA PREMA SUDU</w:t>
      </w:r>
    </w:p>
    <w:p w:rsidR="00921B88" w:rsidRPr="00CD3D2C" w:rsidRDefault="00921B88" w:rsidP="00633AD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</w:p>
    <w:p w:rsidR="00D924C1" w:rsidRPr="00CD3D2C" w:rsidRDefault="00D96D92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Dužnosti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vještak</w:t>
      </w:r>
      <w:r w:rsidR="00633ADC" w:rsidRPr="00CD3D2C">
        <w:rPr>
          <w:rFonts w:ascii="Sylfaen" w:hAnsi="Sylfaen" w:cs="Arial"/>
          <w:color w:val="000000" w:themeColor="text1"/>
          <w:sz w:val="28"/>
          <w:szCs w:val="28"/>
        </w:rPr>
        <w:t xml:space="preserve">a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s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u</w:t>
      </w:r>
      <w:r w:rsidR="00D924C1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: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da se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odaziva na pozive suda, da povjereno mu vještačenje obavlja u roku koji je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odredio sud, da se u toku rada na vještačenju mora držati postavljenih pitanja,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-projketnog zadatka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odnosno zadataka vještačenja, da upozori sud na nove činjenice ili eventualne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propuste u vezi sa izvršenim vlastitim vještačenjem, da je u vezi obračuna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="00D924C1" w:rsidRPr="00CD3D2C">
        <w:rPr>
          <w:rFonts w:ascii="Sylfaen" w:hAnsi="Sylfaen" w:cs="Arial"/>
          <w:color w:val="000000" w:themeColor="text1"/>
          <w:sz w:val="28"/>
          <w:szCs w:val="28"/>
        </w:rPr>
        <w:t>nagrade i troškova vještačenja dužan da se pridržava važećeg troškovnika.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11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dužan je odazvati se pozivu suda i dati svoj nalaz i mišljenje.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U slučaju kad postoje opravdani razlozi za izuzeće vještaka, sudski je vještak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dužan na to upozoriti sud, odnosno naručioca vještačenja.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12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lastRenderedPageBreak/>
        <w:t>Sudski vještak dužan je upozoriti sud da je već ranije obavio vještačenje ili bilo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koju radnju izvan postupka, na zahtjev jedne od stranaka, ako mu je u tom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predmetu povjereno vještačenje.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13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dužan je obaviti vještačenje u roku koji je odredio sud, a ukoliko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ocijeni da neće moći održati zadati rok, mora izvijestiti sud o roku u kojem može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obaviti vještačenje.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14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Tokom rada na vještačenju sudski vještak mora se držati postavljenih pitanja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 xml:space="preserve">projektnog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zadataka u vještačenju, te dati odgovore na postavljena pitanja, a ako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uoči potrebu šireg proučavanja koje objektivno omogućuje ustanovljavanje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relevantnih i novih činjenica, predložiće sudu proširenje zadatka vještačenja.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15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Nalaz i mišljenje sudskog vještaka mora sadržavati tačan i potpun prikaz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svih utvrđenih činjenica, primijenjenih metoda u postupku vještačenja, svih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rezultata istraživanja i treba biti razumljiv.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Mišljenje mora dati jasan, cjelovit i jednoznačan odgovor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>-nalaz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na pitanja postavljena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u zahtjevu za vještačenje. Vještak je dužan obrazložiti i argumentovati svoje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mišljenje i uvijek navesti izvor podataka kojima se služio.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16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Vještak je dužan odazvati se pozivu na raspravu radi usmenog obrazloženja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nalaza i mišljenja, a ako je u tome spriječen, mora o tome izvijestiti sud bez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odlaganja, odnosno na vrijeme.</w:t>
      </w:r>
    </w:p>
    <w:p w:rsidR="00921B88" w:rsidRPr="00CD3D2C" w:rsidRDefault="00D924C1" w:rsidP="00633A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- 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5. ODNOS VJEŠTAKA PREMA STRANKAMA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Ovaj dio Etičkog kodeksa opominje vještaka da svoj nalaz i mišljenje, odnosno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svoje stručne i intelektulane sposobnosti posveti izvršenju povjerenog mu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vještačenja, bez obzira nna rasu,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>pol,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narodnost, vjerska i politička uvjerenja,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društveni ili ekonomski položaj stranaka. Takođe, vještak je dužan da izbjegava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kontakte sa strankama, osim onih koje se odnose na naručeno vještačenje i radiodređivanja i pribavljanja materijala potrebnih za vještačenje.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17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ima časnu dužnost da sve svoje stručne, intelektualne i fizičke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sposobnosti posveti izvršavanju zadataka vještačenja bez obzira na rasu,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lastRenderedPageBreak/>
        <w:t>narodnost, vjerska ili politička uvjerenja, društveni ili ekonomski položaj stranaka.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18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vještak treba izbjegavati kontakte sa strankama, osim onih koji se odnose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na naručeno vještačenje i to samo radi</w:t>
      </w:r>
      <w:r w:rsidR="00D96D92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 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>obezbjedjivanja</w:t>
      </w:r>
      <w:r w:rsidR="00D96D92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i pribavljanja materijala 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podataka potrebnih za vještačenje.</w:t>
      </w:r>
    </w:p>
    <w:p w:rsidR="000E77FF" w:rsidRPr="00CD3D2C" w:rsidRDefault="000E77FF" w:rsidP="00921B88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6. ODNOS VJEŠTAKA PREMA DRUGIM VJEŠTACIMA</w:t>
      </w:r>
    </w:p>
    <w:p w:rsidR="00D96D92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Prema drugim vještacima, vještak je dužan odnositi se drugarski i kolegijalno,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odnosno na načina da u svemu čuva ugled sudskih vještaka, na način da takvi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odnosi ne smiju uticati na savjesnost i objektivnost prilikom davanja nalaza 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I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mišljenja. </w:t>
      </w:r>
    </w:p>
    <w:p w:rsidR="000E77FF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color w:val="000000" w:themeColor="text1"/>
          <w:sz w:val="28"/>
          <w:szCs w:val="28"/>
          <w:u w:val="single"/>
        </w:rPr>
      </w:pP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Vještaci se Etičkim kodeksom upućuju da se međusobno pomažu</w:t>
      </w:r>
      <w:r w:rsidR="000E77FF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davanjem stručnih savjeta, pomaganjem mlađih kolega savjetima, upućivanjem</w:t>
      </w:r>
      <w:r w:rsidR="000E77FF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na odgovarajuću stručnu literaturu i izvore podataka potrebnih za vještačenje.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19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Prema drugim sudskim vještacima vještak je dužan odnositi se kolegijalno i s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uzajamnim poštovanjem, te postupati u svemu tako da se očuva ugled sudskih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vještaka.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20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Sudski vještaci se upućuju na saradnju, izmjenu stručnih znanja i iskustava,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te davanja stručnih savjeta. Osobito se preporučuje da sudski vještaci pomažu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mlađe kolege savjetima, upućivanjem na stručnu literaturu i izvore podataka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potrebnih za vještačenje.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21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color w:val="000000" w:themeColor="text1"/>
          <w:sz w:val="28"/>
          <w:szCs w:val="28"/>
          <w:u w:val="single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U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predmetima u kojima je već obavljeno vještačenje, potrebno je da sudski</w:t>
      </w:r>
      <w:r w:rsidR="000E77FF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vještak uz obavljanje vlastitoga istraživanja temeljito </w:t>
      </w:r>
      <w:r w:rsidR="00921B88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upozna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rezultate rada</w:t>
      </w:r>
      <w:r w:rsidR="000E77FF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prethodnoga vještaka i preispita</w:t>
      </w:r>
      <w:r w:rsidR="00921B88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i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</w:t>
      </w:r>
      <w:r w:rsidR="00921B88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izvrsi porvjeru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svoj</w:t>
      </w:r>
      <w:r w:rsidR="00921B88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ih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rezultat</w:t>
      </w:r>
      <w:r w:rsidR="00921B88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a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u odnos</w:t>
      </w:r>
      <w:r w:rsidR="00921B88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u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na rad prethodnoga</w:t>
      </w:r>
      <w:r w:rsidR="000E77FF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vještaka, pa tek potom izradi </w:t>
      </w:r>
      <w:r w:rsidR="00921B88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konacan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nalaz i mišljenje.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color w:val="000000" w:themeColor="text1"/>
          <w:sz w:val="28"/>
          <w:szCs w:val="28"/>
          <w:u w:val="single"/>
        </w:rPr>
      </w:pP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- Saradnja između vještaka temelji se na prijateljstvu, otvorenosti i prenosu</w:t>
      </w:r>
      <w:r w:rsidR="000E77FF"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 xml:space="preserve"> </w:t>
      </w:r>
      <w:r w:rsidRPr="00CD3D2C">
        <w:rPr>
          <w:rFonts w:ascii="Sylfaen" w:hAnsi="Sylfaen" w:cs="Arial"/>
          <w:b/>
          <w:color w:val="000000" w:themeColor="text1"/>
          <w:sz w:val="28"/>
          <w:szCs w:val="28"/>
          <w:u w:val="single"/>
        </w:rPr>
        <w:t>iskustava.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22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Nadzor nad primjenom pravila ovog Etičkog kodeksa sprovode tijela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Udruženja sudskih vještaka Crne Gore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>,koje formira Upravni odbor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, </w:t>
      </w:r>
      <w:r w:rsidR="00D96D92" w:rsidRPr="00CD3D2C">
        <w:rPr>
          <w:rFonts w:ascii="Sylfaen" w:hAnsi="Sylfaen" w:cs="Arial"/>
          <w:color w:val="000000" w:themeColor="text1"/>
          <w:sz w:val="28"/>
          <w:szCs w:val="28"/>
        </w:rPr>
        <w:t>V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ođenje postupka i izricanje mjera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zbog povrede odredaba ovog Etičkog kodeksa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lastRenderedPageBreak/>
        <w:t>provodi Sud časti na prijedlog bilo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kojeg tijela upravljanja Udruženjem, u skladu sa važećim pravilima.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b/>
          <w:bCs/>
          <w:color w:val="000000" w:themeColor="text1"/>
          <w:sz w:val="28"/>
          <w:szCs w:val="28"/>
        </w:rPr>
        <w:t>Član 23</w:t>
      </w:r>
    </w:p>
    <w:p w:rsidR="00D924C1" w:rsidRPr="00CD3D2C" w:rsidRDefault="00D924C1" w:rsidP="000E77F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ETIČKI KODEKS sudskih vještaka stupa na snagu danom usv</w:t>
      </w:r>
      <w:r w:rsidR="00633ADC" w:rsidRPr="00CD3D2C">
        <w:rPr>
          <w:rFonts w:ascii="Sylfaen" w:hAnsi="Sylfaen" w:cs="Arial"/>
          <w:color w:val="000000" w:themeColor="text1"/>
          <w:sz w:val="28"/>
          <w:szCs w:val="28"/>
        </w:rPr>
        <w:t xml:space="preserve">ajanja  na </w:t>
      </w:r>
      <w:r w:rsidR="000E77FF" w:rsidRPr="00CD3D2C">
        <w:rPr>
          <w:rFonts w:ascii="Sylfaen" w:hAnsi="Sylfaen" w:cs="Arial"/>
          <w:color w:val="000000" w:themeColor="text1"/>
          <w:sz w:val="28"/>
          <w:szCs w:val="28"/>
        </w:rPr>
        <w:t xml:space="preserve"> 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>Skupštin</w:t>
      </w:r>
      <w:r w:rsidR="00633ADC" w:rsidRPr="00CD3D2C">
        <w:rPr>
          <w:rFonts w:ascii="Sylfaen" w:hAnsi="Sylfaen" w:cs="Arial"/>
          <w:color w:val="000000" w:themeColor="text1"/>
          <w:sz w:val="28"/>
          <w:szCs w:val="28"/>
        </w:rPr>
        <w:t>i9</w:t>
      </w:r>
      <w:r w:rsidRPr="00CD3D2C">
        <w:rPr>
          <w:rFonts w:ascii="Sylfaen" w:hAnsi="Sylfaen" w:cs="Arial"/>
          <w:color w:val="000000" w:themeColor="text1"/>
          <w:sz w:val="28"/>
          <w:szCs w:val="28"/>
        </w:rPr>
        <w:t xml:space="preserve"> Udruženja sudskih vještaka Crne Gore.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i/>
          <w:iCs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i/>
          <w:iCs/>
          <w:color w:val="000000" w:themeColor="text1"/>
          <w:sz w:val="28"/>
          <w:szCs w:val="28"/>
        </w:rPr>
        <w:t>Podgorica, 24.12.2011. godine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Predsjednik Udruženja sudskih vještaka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Crne Gore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  <w:r w:rsidRPr="00CD3D2C">
        <w:rPr>
          <w:rFonts w:ascii="Sylfaen" w:hAnsi="Sylfaen" w:cs="Arial"/>
          <w:color w:val="000000" w:themeColor="text1"/>
          <w:sz w:val="28"/>
          <w:szCs w:val="28"/>
        </w:rPr>
        <w:t>Doc. Dr Aleksandar Ivanović</w:t>
      </w: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</w:p>
    <w:p w:rsidR="00D924C1" w:rsidRPr="00CD3D2C" w:rsidRDefault="00D924C1" w:rsidP="008A11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color w:val="000000" w:themeColor="text1"/>
          <w:sz w:val="28"/>
          <w:szCs w:val="28"/>
        </w:rPr>
      </w:pPr>
    </w:p>
    <w:p w:rsidR="00921B88" w:rsidRPr="00CD3D2C" w:rsidRDefault="00921B88">
      <w:pPr>
        <w:jc w:val="center"/>
        <w:rPr>
          <w:rFonts w:ascii="Sylfaen" w:hAnsi="Sylfaen" w:cs="Arial"/>
          <w:color w:val="000000" w:themeColor="text1"/>
          <w:sz w:val="28"/>
          <w:szCs w:val="28"/>
        </w:rPr>
      </w:pPr>
    </w:p>
    <w:sectPr w:rsidR="00921B88" w:rsidRPr="00CD3D2C" w:rsidSect="00D80362">
      <w:footerReference w:type="default" r:id="rId8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44" w:rsidRDefault="00773144" w:rsidP="00921B88">
      <w:pPr>
        <w:spacing w:after="0" w:line="240" w:lineRule="auto"/>
      </w:pPr>
      <w:r>
        <w:separator/>
      </w:r>
    </w:p>
  </w:endnote>
  <w:endnote w:type="continuationSeparator" w:id="1">
    <w:p w:rsidR="00773144" w:rsidRDefault="00773144" w:rsidP="0092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110"/>
      <w:docPartObj>
        <w:docPartGallery w:val="Page Numbers (Bottom of Page)"/>
        <w:docPartUnique/>
      </w:docPartObj>
    </w:sdtPr>
    <w:sdtContent>
      <w:p w:rsidR="00921B88" w:rsidRDefault="002A2C45">
        <w:pPr>
          <w:pStyle w:val="Footer"/>
          <w:jc w:val="right"/>
        </w:pPr>
        <w:r>
          <w:fldChar w:fldCharType="begin"/>
        </w:r>
        <w:r w:rsidR="00E610BC">
          <w:instrText xml:space="preserve"> PAGE   \* MERGEFORMAT </w:instrText>
        </w:r>
        <w:r>
          <w:fldChar w:fldCharType="separate"/>
        </w:r>
        <w:r w:rsidR="00F40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B88" w:rsidRDefault="00921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44" w:rsidRDefault="00773144" w:rsidP="00921B88">
      <w:pPr>
        <w:spacing w:after="0" w:line="240" w:lineRule="auto"/>
      </w:pPr>
      <w:r>
        <w:separator/>
      </w:r>
    </w:p>
  </w:footnote>
  <w:footnote w:type="continuationSeparator" w:id="1">
    <w:p w:rsidR="00773144" w:rsidRDefault="00773144" w:rsidP="0092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696"/>
    <w:multiLevelType w:val="hybridMultilevel"/>
    <w:tmpl w:val="43D4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5651"/>
    <w:multiLevelType w:val="hybridMultilevel"/>
    <w:tmpl w:val="625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1D9"/>
    <w:multiLevelType w:val="hybridMultilevel"/>
    <w:tmpl w:val="A428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415E"/>
    <w:multiLevelType w:val="hybridMultilevel"/>
    <w:tmpl w:val="EC56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C2AE9"/>
    <w:multiLevelType w:val="hybridMultilevel"/>
    <w:tmpl w:val="B290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E661A"/>
    <w:multiLevelType w:val="hybridMultilevel"/>
    <w:tmpl w:val="9DD6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4C1"/>
    <w:rsid w:val="000E77FF"/>
    <w:rsid w:val="00194ED3"/>
    <w:rsid w:val="00203634"/>
    <w:rsid w:val="002A2C45"/>
    <w:rsid w:val="00351FC7"/>
    <w:rsid w:val="00401539"/>
    <w:rsid w:val="00633ADC"/>
    <w:rsid w:val="00773144"/>
    <w:rsid w:val="007B371B"/>
    <w:rsid w:val="008A1109"/>
    <w:rsid w:val="008A3D78"/>
    <w:rsid w:val="008A6C13"/>
    <w:rsid w:val="00921B88"/>
    <w:rsid w:val="00B1654F"/>
    <w:rsid w:val="00B325B1"/>
    <w:rsid w:val="00CD3D2C"/>
    <w:rsid w:val="00D56812"/>
    <w:rsid w:val="00D80362"/>
    <w:rsid w:val="00D924C1"/>
    <w:rsid w:val="00D96D92"/>
    <w:rsid w:val="00DC62A8"/>
    <w:rsid w:val="00E05FB9"/>
    <w:rsid w:val="00E610BC"/>
    <w:rsid w:val="00F400B5"/>
    <w:rsid w:val="00F5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B88"/>
  </w:style>
  <w:style w:type="paragraph" w:styleId="Footer">
    <w:name w:val="footer"/>
    <w:basedOn w:val="Normal"/>
    <w:link w:val="FooterChar"/>
    <w:uiPriority w:val="99"/>
    <w:unhideWhenUsed/>
    <w:rsid w:val="0092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8BC5-5EEE-4EE3-8F0E-C8806F18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milojica.zindovic</cp:lastModifiedBy>
  <cp:revision>3</cp:revision>
  <dcterms:created xsi:type="dcterms:W3CDTF">2016-03-18T11:40:00Z</dcterms:created>
  <dcterms:modified xsi:type="dcterms:W3CDTF">2016-03-18T11:41:00Z</dcterms:modified>
</cp:coreProperties>
</file>